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BC8" w:rsidRDefault="00D76AC7">
      <w:pPr>
        <w:pStyle w:val="ab"/>
        <w:spacing w:before="0" w:beforeAutospacing="0" w:after="120" w:afterAutospacing="0"/>
      </w:pPr>
      <w:r>
        <w:rPr>
          <w:rFonts w:hint="eastAsia"/>
        </w:rPr>
        <w:t>新闻稿</w:t>
      </w:r>
    </w:p>
    <w:p w:rsidR="00001BC8" w:rsidRDefault="00D76AC7">
      <w:pPr>
        <w:autoSpaceDE w:val="0"/>
        <w:autoSpaceDN w:val="0"/>
        <w:adjustRightInd w:val="0"/>
        <w:spacing w:after="27"/>
        <w:rPr>
          <w:rFonts w:ascii="Times New Roman" w:hAnsi="Times New Roman" w:cs="Times New Roman"/>
          <w:b/>
          <w:bCs/>
          <w:sz w:val="28"/>
        </w:rPr>
      </w:pPr>
      <w:r>
        <w:rPr>
          <w:rFonts w:ascii="Times New Roman" w:hAnsi="Times New Roman" w:cs="Times New Roman" w:hint="eastAsia"/>
          <w:b/>
          <w:bCs/>
          <w:sz w:val="28"/>
        </w:rPr>
        <w:t>新湖财富荣获</w:t>
      </w:r>
      <w:r w:rsidR="00C31487">
        <w:rPr>
          <w:rFonts w:ascii="Times New Roman" w:hAnsi="Times New Roman" w:cs="Times New Roman" w:hint="eastAsia"/>
          <w:b/>
          <w:bCs/>
          <w:sz w:val="28"/>
        </w:rPr>
        <w:t>亚洲银行家颁发的</w:t>
      </w:r>
      <w:r>
        <w:rPr>
          <w:rFonts w:ascii="Times New Roman" w:hAnsi="Times New Roman" w:cs="Times New Roman" w:hint="eastAsia"/>
          <w:b/>
          <w:bCs/>
          <w:sz w:val="28"/>
        </w:rPr>
        <w:t>2</w:t>
      </w:r>
      <w:r>
        <w:rPr>
          <w:rFonts w:ascii="Times New Roman" w:hAnsi="Times New Roman" w:cs="Times New Roman"/>
          <w:b/>
          <w:bCs/>
          <w:sz w:val="28"/>
        </w:rPr>
        <w:t>019</w:t>
      </w:r>
      <w:r>
        <w:rPr>
          <w:rFonts w:ascii="Times New Roman" w:hAnsi="Times New Roman" w:cs="Times New Roman" w:hint="eastAsia"/>
          <w:b/>
          <w:bCs/>
          <w:sz w:val="28"/>
        </w:rPr>
        <w:t>年度财富与社会“</w:t>
      </w:r>
      <w:r>
        <w:rPr>
          <w:rFonts w:ascii="Times New Roman" w:hAnsi="Times New Roman" w:cs="Times New Roman"/>
          <w:b/>
          <w:bCs/>
          <w:sz w:val="28"/>
        </w:rPr>
        <w:t>企业承诺认证</w:t>
      </w:r>
      <w:r>
        <w:rPr>
          <w:rFonts w:ascii="Times New Roman" w:hAnsi="Times New Roman" w:cs="Times New Roman" w:hint="eastAsia"/>
          <w:b/>
          <w:bCs/>
          <w:sz w:val="28"/>
        </w:rPr>
        <w:t>”</w:t>
      </w:r>
      <w:r w:rsidR="00C31487">
        <w:rPr>
          <w:rFonts w:ascii="Times New Roman" w:hAnsi="Times New Roman" w:cs="Times New Roman" w:hint="eastAsia"/>
          <w:b/>
          <w:bCs/>
          <w:sz w:val="28"/>
        </w:rPr>
        <w:t>奖</w:t>
      </w:r>
    </w:p>
    <w:p w:rsidR="00001BC8" w:rsidRDefault="00001BC8">
      <w:pPr>
        <w:autoSpaceDE w:val="0"/>
        <w:autoSpaceDN w:val="0"/>
        <w:adjustRightInd w:val="0"/>
        <w:spacing w:after="27"/>
        <w:rPr>
          <w:rFonts w:ascii="Times New Roman" w:hAnsi="Times New Roman" w:cs="Times New Roman"/>
          <w:b/>
          <w:bCs/>
          <w:sz w:val="28"/>
        </w:rPr>
      </w:pPr>
    </w:p>
    <w:p w:rsidR="00001BC8" w:rsidRDefault="00D76AC7" w:rsidP="00933FC7">
      <w:pPr>
        <w:pStyle w:val="af0"/>
        <w:numPr>
          <w:ilvl w:val="0"/>
          <w:numId w:val="1"/>
        </w:numPr>
        <w:spacing w:line="288" w:lineRule="exact"/>
        <w:rPr>
          <w:rFonts w:asciiTheme="minorEastAsia" w:hAnsiTheme="minorEastAsia"/>
          <w:b/>
        </w:rPr>
      </w:pPr>
      <w:r>
        <w:rPr>
          <w:rFonts w:asciiTheme="minorEastAsia" w:hAnsiTheme="minorEastAsia" w:hint="eastAsia"/>
          <w:b/>
        </w:rPr>
        <w:t>新湖财富发起“百所安康图书馆公益慈善计划”，并通过中国儿童少年基金会捐助多所“安康图书馆”</w:t>
      </w:r>
      <w:r>
        <w:rPr>
          <w:rFonts w:asciiTheme="minorEastAsia" w:hAnsiTheme="minorEastAsia"/>
          <w:b/>
        </w:rPr>
        <w:t xml:space="preserve"> </w:t>
      </w:r>
    </w:p>
    <w:p w:rsidR="00001BC8" w:rsidRDefault="00D76AC7">
      <w:pPr>
        <w:pStyle w:val="ab"/>
        <w:numPr>
          <w:ilvl w:val="0"/>
          <w:numId w:val="1"/>
        </w:numPr>
        <w:jc w:val="both"/>
        <w:rPr>
          <w:rFonts w:asciiTheme="minorEastAsia" w:hAnsiTheme="minorEastAsia"/>
          <w:b/>
        </w:rPr>
      </w:pPr>
      <w:r>
        <w:rPr>
          <w:rFonts w:asciiTheme="minorEastAsia" w:hAnsiTheme="minorEastAsia" w:hint="eastAsia"/>
          <w:b/>
        </w:rPr>
        <w:t>新湖财富捐赠超过300万元正式成立“新湖财富公益基金”以管理专项基金的日常事务，执行公益项目</w:t>
      </w:r>
      <w:bookmarkStart w:id="0" w:name="_GoBack"/>
      <w:bookmarkEnd w:id="0"/>
    </w:p>
    <w:p w:rsidR="00001BC8" w:rsidRDefault="00D76AC7">
      <w:pPr>
        <w:pStyle w:val="ab"/>
        <w:numPr>
          <w:ilvl w:val="0"/>
          <w:numId w:val="1"/>
        </w:numPr>
        <w:jc w:val="both"/>
        <w:rPr>
          <w:rFonts w:asciiTheme="minorEastAsia" w:hAnsiTheme="minorEastAsia"/>
          <w:b/>
        </w:rPr>
      </w:pPr>
      <w:r>
        <w:rPr>
          <w:rFonts w:asciiTheme="minorEastAsia" w:hAnsiTheme="minorEastAsia" w:cstheme="minorBidi" w:hint="eastAsia"/>
          <w:b/>
        </w:rPr>
        <w:t>新湖财富</w:t>
      </w:r>
      <w:r w:rsidR="00EC4CB2" w:rsidRPr="00EC4CB2">
        <w:rPr>
          <w:rFonts w:asciiTheme="minorEastAsia" w:hAnsiTheme="minorEastAsia" w:cstheme="minorBidi" w:hint="eastAsia"/>
          <w:b/>
        </w:rPr>
        <w:t>泓湖百世全球家族办公室</w:t>
      </w:r>
      <w:r w:rsidR="00EC4CB2">
        <w:rPr>
          <w:rFonts w:asciiTheme="minorEastAsia" w:hAnsiTheme="minorEastAsia" w:hint="eastAsia"/>
          <w:b/>
        </w:rPr>
        <w:t>发起</w:t>
      </w:r>
      <w:r w:rsidR="00625AAC">
        <w:rPr>
          <w:rFonts w:asciiTheme="minorEastAsia" w:hAnsiTheme="minorEastAsia" w:hint="eastAsia"/>
          <w:b/>
        </w:rPr>
        <w:t>设立</w:t>
      </w:r>
      <w:r>
        <w:rPr>
          <w:rFonts w:asciiTheme="minorEastAsia" w:hAnsiTheme="minorEastAsia" w:hint="eastAsia"/>
          <w:b/>
        </w:rPr>
        <w:t>慈善信托，携手</w:t>
      </w:r>
      <w:r w:rsidR="00EC4CB2">
        <w:rPr>
          <w:rFonts w:asciiTheme="minorEastAsia" w:hAnsiTheme="minorEastAsia" w:hint="eastAsia"/>
          <w:b/>
        </w:rPr>
        <w:t>深圳市社会公益</w:t>
      </w:r>
      <w:r>
        <w:rPr>
          <w:rFonts w:asciiTheme="minorEastAsia" w:hAnsiTheme="minorEastAsia" w:hint="eastAsia"/>
          <w:b/>
        </w:rPr>
        <w:t>基金会，共同推动慈善金融创新业务</w:t>
      </w:r>
    </w:p>
    <w:p w:rsidR="008A1FAF" w:rsidRDefault="00D76AC7">
      <w:pPr>
        <w:pStyle w:val="ab"/>
        <w:jc w:val="both"/>
        <w:rPr>
          <w:bCs/>
        </w:rPr>
      </w:pPr>
      <w:r>
        <w:rPr>
          <w:rFonts w:hint="eastAsia"/>
          <w:bCs/>
        </w:rPr>
        <w:t>上海，</w:t>
      </w:r>
      <w:r>
        <w:rPr>
          <w:rFonts w:hint="eastAsia"/>
          <w:bCs/>
        </w:rPr>
        <w:t>201</w:t>
      </w:r>
      <w:r>
        <w:rPr>
          <w:bCs/>
        </w:rPr>
        <w:t>9</w:t>
      </w:r>
      <w:r>
        <w:rPr>
          <w:rFonts w:hint="eastAsia"/>
          <w:bCs/>
        </w:rPr>
        <w:t>年</w:t>
      </w:r>
      <w:r>
        <w:rPr>
          <w:rFonts w:hint="eastAsia"/>
          <w:bCs/>
        </w:rPr>
        <w:t>1</w:t>
      </w:r>
      <w:r>
        <w:rPr>
          <w:bCs/>
        </w:rPr>
        <w:t>2</w:t>
      </w:r>
      <w:r>
        <w:rPr>
          <w:rFonts w:hint="eastAsia"/>
          <w:bCs/>
        </w:rPr>
        <w:t>月</w:t>
      </w:r>
      <w:r>
        <w:rPr>
          <w:bCs/>
        </w:rPr>
        <w:t>6</w:t>
      </w:r>
      <w:r>
        <w:rPr>
          <w:rFonts w:hint="eastAsia"/>
          <w:bCs/>
        </w:rPr>
        <w:t>日</w:t>
      </w:r>
      <w:r>
        <w:rPr>
          <w:rFonts w:hint="eastAsia"/>
          <w:bCs/>
        </w:rPr>
        <w:t xml:space="preserve"> </w:t>
      </w:r>
      <w:r>
        <w:rPr>
          <w:rFonts w:hint="eastAsia"/>
          <w:bCs/>
        </w:rPr>
        <w:t>–</w:t>
      </w:r>
      <w:r>
        <w:rPr>
          <w:rFonts w:hint="eastAsia"/>
          <w:b/>
          <w:bCs/>
        </w:rPr>
        <w:t xml:space="preserve"> </w:t>
      </w:r>
      <w:r>
        <w:rPr>
          <w:rFonts w:hint="eastAsia"/>
          <w:b/>
          <w:bCs/>
        </w:rPr>
        <w:t>新湖财富</w:t>
      </w:r>
      <w:r>
        <w:rPr>
          <w:rFonts w:hint="eastAsia"/>
          <w:bCs/>
        </w:rPr>
        <w:t>在</w:t>
      </w:r>
      <w:r>
        <w:rPr>
          <w:rFonts w:hint="eastAsia"/>
          <w:bCs/>
        </w:rPr>
        <w:t>2</w:t>
      </w:r>
      <w:r>
        <w:rPr>
          <w:bCs/>
        </w:rPr>
        <w:t>019</w:t>
      </w:r>
      <w:r>
        <w:rPr>
          <w:rFonts w:hint="eastAsia"/>
          <w:bCs/>
        </w:rPr>
        <w:t>全球财富与社会中国奖项颁奖典礼上荣获</w:t>
      </w:r>
      <w:r w:rsidR="00B9029E" w:rsidRPr="00B9029E">
        <w:rPr>
          <w:rFonts w:hint="eastAsia"/>
          <w:bCs/>
        </w:rPr>
        <w:t>亚洲银行家颁发的</w:t>
      </w:r>
      <w:r w:rsidR="00C31487">
        <w:rPr>
          <w:rFonts w:hint="eastAsia"/>
          <w:bCs/>
        </w:rPr>
        <w:t>“</w:t>
      </w:r>
      <w:r>
        <w:rPr>
          <w:b/>
          <w:bCs/>
        </w:rPr>
        <w:t>企业承诺</w:t>
      </w:r>
      <w:r>
        <w:rPr>
          <w:rFonts w:hint="eastAsia"/>
          <w:b/>
          <w:bCs/>
        </w:rPr>
        <w:t>认证</w:t>
      </w:r>
      <w:r w:rsidR="00C31487">
        <w:rPr>
          <w:rFonts w:hint="eastAsia"/>
          <w:b/>
          <w:bCs/>
        </w:rPr>
        <w:t>”奖</w:t>
      </w:r>
      <w:r>
        <w:rPr>
          <w:rFonts w:hint="eastAsia"/>
          <w:bCs/>
        </w:rPr>
        <w:t>。</w:t>
      </w:r>
    </w:p>
    <w:p w:rsidR="008F6B66" w:rsidRDefault="00D76AC7">
      <w:pPr>
        <w:pStyle w:val="ab"/>
        <w:jc w:val="both"/>
        <w:rPr>
          <w:lang w:val="en-US"/>
        </w:rPr>
      </w:pPr>
      <w:r>
        <w:rPr>
          <w:lang w:val="en-US"/>
        </w:rPr>
        <w:t>首届</w:t>
      </w:r>
      <w:r>
        <w:rPr>
          <w:rFonts w:hint="eastAsia"/>
          <w:lang w:val="en-US"/>
        </w:rPr>
        <w:t>全球财富与社会颁奖典礼在英国伦敦举办，</w:t>
      </w:r>
      <w:r w:rsidR="009B4274" w:rsidRPr="009B4274">
        <w:rPr>
          <w:rFonts w:hint="eastAsia"/>
          <w:lang w:val="en-US"/>
        </w:rPr>
        <w:t>“企业承诺认证”奖</w:t>
      </w:r>
      <w:r>
        <w:rPr>
          <w:rFonts w:hint="eastAsia"/>
          <w:lang w:val="en-US"/>
        </w:rPr>
        <w:t>旨在</w:t>
      </w:r>
      <w:r w:rsidR="00C31487">
        <w:rPr>
          <w:rFonts w:hint="eastAsia"/>
          <w:lang w:val="en-US"/>
        </w:rPr>
        <w:t>表彰</w:t>
      </w:r>
      <w:r>
        <w:rPr>
          <w:rFonts w:hint="eastAsia"/>
          <w:lang w:val="en-US"/>
        </w:rPr>
        <w:t>那些为社会带来积极影响的高净值</w:t>
      </w:r>
      <w:r>
        <w:rPr>
          <w:rFonts w:hint="eastAsia"/>
          <w:lang w:val="en-US"/>
        </w:rPr>
        <w:t>/</w:t>
      </w:r>
      <w:r>
        <w:rPr>
          <w:rFonts w:hint="eastAsia"/>
          <w:lang w:val="en-US"/>
        </w:rPr>
        <w:t>超高净值个人以及服务他们的机构。</w:t>
      </w:r>
      <w:r>
        <w:rPr>
          <w:lang w:val="en-US"/>
        </w:rPr>
        <w:t xml:space="preserve"> </w:t>
      </w:r>
      <w:r>
        <w:rPr>
          <w:lang w:val="en-US"/>
        </w:rPr>
        <w:t>奖项评选结果由</w:t>
      </w:r>
      <w:r>
        <w:rPr>
          <w:rFonts w:hint="eastAsia"/>
          <w:lang w:val="en-US"/>
        </w:rPr>
        <w:t>行业领袖及知名学者组成的国际顾问委员会综合评定得出，体现财富在社会发展中的正能量，以及高净值人群对所处社会的可持续发展与进步产生的积极影响。</w:t>
      </w:r>
      <w:r>
        <w:rPr>
          <w:lang w:val="en-US"/>
        </w:rPr>
        <w:t xml:space="preserve"> </w:t>
      </w:r>
    </w:p>
    <w:p w:rsidR="008F6B66" w:rsidRDefault="008F6B66">
      <w:pPr>
        <w:pStyle w:val="ab"/>
        <w:jc w:val="both"/>
      </w:pPr>
      <w:r w:rsidRPr="008F6B66">
        <w:rPr>
          <w:rFonts w:hint="eastAsia"/>
        </w:rPr>
        <w:t>新湖财富历经</w:t>
      </w:r>
      <w:r w:rsidRPr="008F6B66">
        <w:rPr>
          <w:rFonts w:hint="eastAsia"/>
        </w:rPr>
        <w:t>8</w:t>
      </w:r>
      <w:r w:rsidRPr="008F6B66">
        <w:rPr>
          <w:rFonts w:hint="eastAsia"/>
        </w:rPr>
        <w:t>年的快速发展，累计资产管理配置规模已突破</w:t>
      </w:r>
      <w:r w:rsidRPr="008F6B66">
        <w:rPr>
          <w:rFonts w:hint="eastAsia"/>
        </w:rPr>
        <w:t>9200</w:t>
      </w:r>
      <w:r w:rsidRPr="008F6B66">
        <w:rPr>
          <w:rFonts w:hint="eastAsia"/>
        </w:rPr>
        <w:t>亿，专业理财顾问人数超过</w:t>
      </w:r>
      <w:r w:rsidRPr="008F6B66">
        <w:rPr>
          <w:rFonts w:hint="eastAsia"/>
        </w:rPr>
        <w:t xml:space="preserve">3300 </w:t>
      </w:r>
      <w:r w:rsidRPr="008F6B66">
        <w:rPr>
          <w:rFonts w:hint="eastAsia"/>
        </w:rPr>
        <w:t>人，在全国</w:t>
      </w:r>
      <w:r w:rsidRPr="008F6B66">
        <w:rPr>
          <w:rFonts w:hint="eastAsia"/>
        </w:rPr>
        <w:t>80</w:t>
      </w:r>
      <w:r w:rsidRPr="008F6B66">
        <w:rPr>
          <w:rFonts w:hint="eastAsia"/>
        </w:rPr>
        <w:t>多个主要城市拥有超过</w:t>
      </w:r>
      <w:r w:rsidRPr="008F6B66">
        <w:rPr>
          <w:rFonts w:hint="eastAsia"/>
        </w:rPr>
        <w:t>240</w:t>
      </w:r>
      <w:r w:rsidRPr="008F6B66">
        <w:rPr>
          <w:rFonts w:hint="eastAsia"/>
        </w:rPr>
        <w:t>多个分支机构，通过专业的服务帮助超过</w:t>
      </w:r>
      <w:r w:rsidRPr="008F6B66">
        <w:rPr>
          <w:rFonts w:hint="eastAsia"/>
        </w:rPr>
        <w:t>5</w:t>
      </w:r>
      <w:r w:rsidRPr="008F6B66">
        <w:rPr>
          <w:rFonts w:hint="eastAsia"/>
        </w:rPr>
        <w:t>万多个高净值家庭进行了资产配置服务，并为数十万名客户提供了理财咨询服务。作为国内领先的财富管理公司，新湖财富于</w:t>
      </w:r>
      <w:r w:rsidRPr="008F6B66">
        <w:rPr>
          <w:rFonts w:hint="eastAsia"/>
        </w:rPr>
        <w:t>2019</w:t>
      </w:r>
      <w:r w:rsidRPr="008F6B66">
        <w:rPr>
          <w:rFonts w:hint="eastAsia"/>
        </w:rPr>
        <w:t>年</w:t>
      </w:r>
      <w:r w:rsidRPr="008F6B66">
        <w:rPr>
          <w:rFonts w:hint="eastAsia"/>
        </w:rPr>
        <w:t>3</w:t>
      </w:r>
      <w:r w:rsidRPr="008F6B66">
        <w:rPr>
          <w:rFonts w:hint="eastAsia"/>
        </w:rPr>
        <w:t>月成立了泓湖百世全球家族办公室，泓湖百世全球家族办公室致力于为高净值人士搭建内外一体化家族信托，并提供家族财富、教育、艺术、慈善及家族精神传承等系统性服务。</w:t>
      </w:r>
    </w:p>
    <w:p w:rsidR="00001BC8" w:rsidRDefault="00D76AC7">
      <w:pPr>
        <w:tabs>
          <w:tab w:val="left" w:pos="1200"/>
        </w:tabs>
        <w:spacing w:line="288" w:lineRule="exact"/>
        <w:rPr>
          <w:rFonts w:asciiTheme="minorEastAsia" w:hAnsiTheme="minorEastAsia"/>
          <w:b/>
        </w:rPr>
      </w:pPr>
      <w:r>
        <w:rPr>
          <w:rFonts w:asciiTheme="minorEastAsia" w:hAnsiTheme="minorEastAsia" w:hint="eastAsia"/>
          <w:b/>
        </w:rPr>
        <w:t>新湖财富发起“百所安康图书馆公益慈善计划”，并已通过中国儿童少年基金会捐助多所“安康图书馆”</w:t>
      </w:r>
      <w:r>
        <w:rPr>
          <w:rFonts w:asciiTheme="minorEastAsia" w:hAnsiTheme="minorEastAsia"/>
          <w:b/>
        </w:rPr>
        <w:t xml:space="preserve"> </w:t>
      </w:r>
    </w:p>
    <w:p w:rsidR="00C50F39" w:rsidRPr="00933FC7" w:rsidRDefault="00C50F39">
      <w:pPr>
        <w:tabs>
          <w:tab w:val="left" w:pos="1200"/>
        </w:tabs>
        <w:spacing w:line="288" w:lineRule="exact"/>
        <w:rPr>
          <w:rFonts w:asciiTheme="minorEastAsia" w:hAnsiTheme="minorEastAsia"/>
          <w:bCs/>
        </w:rPr>
      </w:pPr>
    </w:p>
    <w:p w:rsidR="00001BC8" w:rsidRDefault="00D76AC7">
      <w:pPr>
        <w:tabs>
          <w:tab w:val="left" w:pos="1200"/>
        </w:tabs>
        <w:spacing w:line="299" w:lineRule="exact"/>
      </w:pPr>
      <w:r>
        <w:rPr>
          <w:rFonts w:hint="eastAsia"/>
        </w:rPr>
        <w:t>截至目前，新湖财富已</w:t>
      </w:r>
      <w:r>
        <w:rPr>
          <w:rFonts w:hint="eastAsia"/>
          <w:lang w:val="en-US"/>
        </w:rPr>
        <w:t>通过中国儿童少年基金会</w:t>
      </w:r>
      <w:r>
        <w:rPr>
          <w:rFonts w:hint="eastAsia"/>
        </w:rPr>
        <w:t>在四川、云南、新疆、青海、陕西等</w:t>
      </w:r>
      <w:r>
        <w:rPr>
          <w:rFonts w:hint="eastAsia"/>
        </w:rPr>
        <w:t>10</w:t>
      </w:r>
      <w:r>
        <w:rPr>
          <w:rFonts w:hint="eastAsia"/>
        </w:rPr>
        <w:t>个省、市、自治区累计捐建</w:t>
      </w:r>
      <w:r>
        <w:rPr>
          <w:rFonts w:hint="eastAsia"/>
        </w:rPr>
        <w:t>23</w:t>
      </w:r>
      <w:r>
        <w:rPr>
          <w:rFonts w:hint="eastAsia"/>
        </w:rPr>
        <w:t>所“安康图书馆”，惠及</w:t>
      </w:r>
      <w:r>
        <w:rPr>
          <w:rFonts w:hint="eastAsia"/>
        </w:rPr>
        <w:t>5</w:t>
      </w:r>
      <w:r>
        <w:rPr>
          <w:rFonts w:hint="eastAsia"/>
        </w:rPr>
        <w:t>万多名学生。</w:t>
      </w:r>
      <w:r w:rsidRPr="00933FC7">
        <w:rPr>
          <w:color w:val="3F3E3F"/>
        </w:rPr>
        <w:t>未来，新湖财富将携手更多爱心人士共同完成</w:t>
      </w:r>
      <w:r w:rsidR="008F6B66">
        <w:rPr>
          <w:rFonts w:hint="eastAsia"/>
          <w:color w:val="3F3E3F"/>
        </w:rPr>
        <w:t>“</w:t>
      </w:r>
      <w:r w:rsidRPr="00933FC7">
        <w:rPr>
          <w:color w:val="3F3E3F"/>
        </w:rPr>
        <w:t>百所安康图书馆公益慈善计划</w:t>
      </w:r>
      <w:r w:rsidR="008F6B66">
        <w:rPr>
          <w:rFonts w:hint="eastAsia"/>
          <w:color w:val="3F3E3F"/>
        </w:rPr>
        <w:t>”</w:t>
      </w:r>
      <w:r w:rsidRPr="00933FC7">
        <w:rPr>
          <w:color w:val="3F3E3F"/>
        </w:rPr>
        <w:t>，让更多的</w:t>
      </w:r>
      <w:r w:rsidR="008F6B66">
        <w:rPr>
          <w:rFonts w:hint="eastAsia"/>
          <w:color w:val="3F3E3F"/>
        </w:rPr>
        <w:t>“</w:t>
      </w:r>
      <w:r w:rsidRPr="00933FC7">
        <w:rPr>
          <w:color w:val="3F3E3F"/>
        </w:rPr>
        <w:t>童真双眸</w:t>
      </w:r>
      <w:r w:rsidR="008F6B66">
        <w:rPr>
          <w:rFonts w:hint="eastAsia"/>
          <w:color w:val="3F3E3F"/>
        </w:rPr>
        <w:t>”</w:t>
      </w:r>
      <w:r w:rsidRPr="00933FC7">
        <w:rPr>
          <w:color w:val="3F3E3F"/>
        </w:rPr>
        <w:t>看见世界，让更多的</w:t>
      </w:r>
      <w:r w:rsidR="008F6B66">
        <w:rPr>
          <w:rFonts w:hint="eastAsia"/>
          <w:color w:val="3F3E3F"/>
        </w:rPr>
        <w:t>“</w:t>
      </w:r>
      <w:r w:rsidRPr="00933FC7">
        <w:rPr>
          <w:color w:val="3F3E3F"/>
        </w:rPr>
        <w:t>梦想翅膀</w:t>
      </w:r>
      <w:r w:rsidR="008F6B66">
        <w:rPr>
          <w:rFonts w:hint="eastAsia"/>
          <w:color w:val="3F3E3F"/>
        </w:rPr>
        <w:t>”</w:t>
      </w:r>
      <w:r w:rsidRPr="00933FC7">
        <w:rPr>
          <w:color w:val="3F3E3F"/>
        </w:rPr>
        <w:t>越过大山。</w:t>
      </w:r>
    </w:p>
    <w:p w:rsidR="00001BC8" w:rsidRDefault="00D76AC7">
      <w:pPr>
        <w:pStyle w:val="ab"/>
        <w:jc w:val="both"/>
        <w:rPr>
          <w:rFonts w:asciiTheme="minorEastAsia" w:hAnsiTheme="minorEastAsia"/>
          <w:b/>
        </w:rPr>
      </w:pPr>
      <w:r>
        <w:rPr>
          <w:rFonts w:asciiTheme="minorEastAsia" w:hAnsiTheme="minorEastAsia" w:hint="eastAsia"/>
          <w:b/>
        </w:rPr>
        <w:t>新湖财富捐赠超过300万元正式成立“新湖财富公益基金”以管理专项基金的日常事务，执行公益项目</w:t>
      </w:r>
    </w:p>
    <w:p w:rsidR="00001BC8" w:rsidRDefault="00D76AC7">
      <w:pPr>
        <w:tabs>
          <w:tab w:val="left" w:pos="1200"/>
        </w:tabs>
        <w:spacing w:line="299" w:lineRule="exact"/>
      </w:pPr>
      <w:r>
        <w:rPr>
          <w:rFonts w:hint="eastAsia"/>
        </w:rPr>
        <w:t>新湖财富于</w:t>
      </w:r>
      <w:r>
        <w:rPr>
          <w:rFonts w:hint="eastAsia"/>
        </w:rPr>
        <w:t>2019</w:t>
      </w:r>
      <w:r>
        <w:rPr>
          <w:rFonts w:hint="eastAsia"/>
        </w:rPr>
        <w:t>年提出“公益新湖”计划，该计划是新湖财富与中国儿童少年基金，携手新湖财富客户一起精心打造的公益平台。旨在打造一个开放透明的、可持续的、兼顾当前公益项目和长期发展的公益平台。并下设“新湖财富公益基金”。</w:t>
      </w:r>
      <w:r>
        <w:rPr>
          <w:rFonts w:hint="eastAsia"/>
          <w:lang w:val="en-US"/>
        </w:rPr>
        <w:t>截至</w:t>
      </w:r>
      <w:r>
        <w:rPr>
          <w:rFonts w:hint="eastAsia"/>
        </w:rPr>
        <w:t>2019</w:t>
      </w:r>
      <w:r>
        <w:rPr>
          <w:rFonts w:hint="eastAsia"/>
        </w:rPr>
        <w:t>年</w:t>
      </w:r>
      <w:r>
        <w:rPr>
          <w:rFonts w:hint="eastAsia"/>
          <w:lang w:val="en-US"/>
        </w:rPr>
        <w:t>底</w:t>
      </w:r>
      <w:r>
        <w:rPr>
          <w:rFonts w:hint="eastAsia"/>
        </w:rPr>
        <w:t>“公益新湖”已捐赠</w:t>
      </w:r>
      <w:r>
        <w:rPr>
          <w:rFonts w:hint="eastAsia"/>
          <w:lang w:val="en-US"/>
        </w:rPr>
        <w:t>超过</w:t>
      </w:r>
      <w:r>
        <w:rPr>
          <w:rFonts w:hint="eastAsia"/>
        </w:rPr>
        <w:t>300</w:t>
      </w:r>
      <w:r>
        <w:rPr>
          <w:rFonts w:hint="eastAsia"/>
        </w:rPr>
        <w:t>万元，成立“新湖财富公益”</w:t>
      </w:r>
      <w:r>
        <w:rPr>
          <w:rFonts w:hint="eastAsia"/>
          <w:lang w:val="en-US"/>
        </w:rPr>
        <w:t>专项基金</w:t>
      </w:r>
      <w:r>
        <w:rPr>
          <w:rFonts w:hint="eastAsia"/>
        </w:rPr>
        <w:t>，中国儿童少年基金会将作为基金管理人，管理专项基金的日常事务，执行公益项目。</w:t>
      </w:r>
    </w:p>
    <w:p w:rsidR="00001BC8" w:rsidRDefault="00D76AC7">
      <w:pPr>
        <w:pStyle w:val="ab"/>
        <w:jc w:val="both"/>
        <w:rPr>
          <w:rFonts w:asciiTheme="minorEastAsia" w:hAnsiTheme="minorEastAsia"/>
          <w:b/>
        </w:rPr>
      </w:pPr>
      <w:r>
        <w:rPr>
          <w:rFonts w:asciiTheme="minorEastAsia" w:hAnsiTheme="minorEastAsia" w:cstheme="minorBidi" w:hint="eastAsia"/>
          <w:b/>
        </w:rPr>
        <w:t>新湖财富</w:t>
      </w:r>
      <w:r w:rsidR="00EC4CB2" w:rsidRPr="00EC4CB2">
        <w:rPr>
          <w:rFonts w:asciiTheme="minorEastAsia" w:hAnsiTheme="minorEastAsia" w:cstheme="minorBidi" w:hint="eastAsia"/>
          <w:b/>
        </w:rPr>
        <w:t>泓湖百世全球家族办公室</w:t>
      </w:r>
      <w:r w:rsidR="00EC4CB2">
        <w:rPr>
          <w:rFonts w:asciiTheme="minorEastAsia" w:hAnsiTheme="minorEastAsia" w:hint="eastAsia"/>
          <w:b/>
        </w:rPr>
        <w:t>发起</w:t>
      </w:r>
      <w:r w:rsidR="00973A8D">
        <w:rPr>
          <w:rFonts w:asciiTheme="minorEastAsia" w:hAnsiTheme="minorEastAsia" w:hint="eastAsia"/>
          <w:b/>
        </w:rPr>
        <w:t>设立</w:t>
      </w:r>
      <w:r>
        <w:rPr>
          <w:rFonts w:asciiTheme="minorEastAsia" w:hAnsiTheme="minorEastAsia" w:hint="eastAsia"/>
          <w:b/>
        </w:rPr>
        <w:t>慈善信托，携手</w:t>
      </w:r>
      <w:r w:rsidR="00EC4CB2">
        <w:rPr>
          <w:rFonts w:asciiTheme="minorEastAsia" w:hAnsiTheme="minorEastAsia" w:hint="eastAsia"/>
          <w:b/>
        </w:rPr>
        <w:t>深圳市社会公益</w:t>
      </w:r>
      <w:r>
        <w:rPr>
          <w:rFonts w:asciiTheme="minorEastAsia" w:hAnsiTheme="minorEastAsia" w:hint="eastAsia"/>
          <w:b/>
        </w:rPr>
        <w:t>基金会，共同推动慈善金融创新业务</w:t>
      </w:r>
    </w:p>
    <w:p w:rsidR="00001BC8" w:rsidRDefault="00AB2678">
      <w:pPr>
        <w:pStyle w:val="ab"/>
        <w:jc w:val="both"/>
      </w:pPr>
      <w:r>
        <w:rPr>
          <w:rFonts w:hint="eastAsia"/>
        </w:rPr>
        <w:lastRenderedPageBreak/>
        <w:t>2019</w:t>
      </w:r>
      <w:r>
        <w:rPr>
          <w:rFonts w:hint="eastAsia"/>
        </w:rPr>
        <w:t>年</w:t>
      </w:r>
      <w:r>
        <w:rPr>
          <w:rFonts w:hint="eastAsia"/>
        </w:rPr>
        <w:t>7</w:t>
      </w:r>
      <w:r>
        <w:rPr>
          <w:rFonts w:hint="eastAsia"/>
        </w:rPr>
        <w:t>月，</w:t>
      </w:r>
      <w:r w:rsidR="00D76AC7">
        <w:rPr>
          <w:rFonts w:hint="eastAsia"/>
        </w:rPr>
        <w:t>新湖财富</w:t>
      </w:r>
      <w:r w:rsidR="00EC4CB2" w:rsidRPr="00EC4CB2">
        <w:rPr>
          <w:rFonts w:hint="eastAsia"/>
        </w:rPr>
        <w:t>泓湖百世全球家族办公室</w:t>
      </w:r>
      <w:r w:rsidRPr="00AB2678">
        <w:rPr>
          <w:rFonts w:hint="eastAsia"/>
        </w:rPr>
        <w:t>发起设立“新湖财富•关爱儿童慈善信托”，</w:t>
      </w:r>
      <w:r w:rsidR="00625AAC" w:rsidRPr="00625AAC">
        <w:rPr>
          <w:rFonts w:hint="eastAsia"/>
        </w:rPr>
        <w:t>旨在改善中国儿童教育、健康、安全方面的现状，促进中国儿童的全面发展。</w:t>
      </w:r>
      <w:r w:rsidR="009F74B1" w:rsidRPr="009F74B1">
        <w:rPr>
          <w:rFonts w:hint="eastAsia"/>
        </w:rPr>
        <w:t>该</w:t>
      </w:r>
      <w:r w:rsidR="009F74B1" w:rsidRPr="008F6B66">
        <w:rPr>
          <w:rFonts w:hint="eastAsia"/>
        </w:rPr>
        <w:t>项目</w:t>
      </w:r>
      <w:r w:rsidR="009F74B1">
        <w:rPr>
          <w:rFonts w:hint="eastAsia"/>
        </w:rPr>
        <w:t>对社会高净值人士在公益</w:t>
      </w:r>
      <w:r w:rsidR="009F74B1" w:rsidRPr="009F74B1">
        <w:rPr>
          <w:rFonts w:hint="eastAsia"/>
        </w:rPr>
        <w:t>慈善领域</w:t>
      </w:r>
      <w:r w:rsidR="009F74B1">
        <w:rPr>
          <w:rFonts w:hint="eastAsia"/>
        </w:rPr>
        <w:t>具有重要</w:t>
      </w:r>
      <w:r w:rsidR="009F74B1" w:rsidRPr="009F74B1">
        <w:rPr>
          <w:rFonts w:hint="eastAsia"/>
        </w:rPr>
        <w:t>示范作用</w:t>
      </w:r>
      <w:r w:rsidR="009F74B1">
        <w:rPr>
          <w:rFonts w:hint="eastAsia"/>
        </w:rPr>
        <w:t>。</w:t>
      </w:r>
      <w:r w:rsidR="00395E27">
        <w:rPr>
          <w:rFonts w:hint="eastAsia"/>
        </w:rPr>
        <w:t>首先</w:t>
      </w:r>
      <w:r w:rsidRPr="00AB2678">
        <w:rPr>
          <w:rFonts w:hint="eastAsia"/>
        </w:rPr>
        <w:t>，高净值</w:t>
      </w:r>
      <w:r w:rsidR="001D1BE5">
        <w:rPr>
          <w:rFonts w:hint="eastAsia"/>
        </w:rPr>
        <w:t>人士</w:t>
      </w:r>
      <w:r w:rsidRPr="00AB2678">
        <w:rPr>
          <w:rFonts w:hint="eastAsia"/>
        </w:rPr>
        <w:t>可以通过向深圳市社会公益基金会捐赠的形式，成为该慈善信托的新增委托人。</w:t>
      </w:r>
      <w:r w:rsidR="00395E27">
        <w:rPr>
          <w:rFonts w:hint="eastAsia"/>
        </w:rPr>
        <w:t>其次</w:t>
      </w:r>
      <w:r>
        <w:rPr>
          <w:rFonts w:hint="eastAsia"/>
        </w:rPr>
        <w:t>，</w:t>
      </w:r>
      <w:r w:rsidR="00625AAC">
        <w:rPr>
          <w:rFonts w:hint="eastAsia"/>
        </w:rPr>
        <w:t>新湖财富鼓励高净值人士以该</w:t>
      </w:r>
      <w:r w:rsidRPr="00AB2678">
        <w:rPr>
          <w:rFonts w:hint="eastAsia"/>
        </w:rPr>
        <w:t>慈善信托为蓝本，为自己的企业或家族设立慈善信托</w:t>
      </w:r>
      <w:r w:rsidR="00395E27">
        <w:rPr>
          <w:rFonts w:hint="eastAsia"/>
        </w:rPr>
        <w:t>，</w:t>
      </w:r>
      <w:r w:rsidRPr="00AB2678">
        <w:rPr>
          <w:rFonts w:hint="eastAsia"/>
        </w:rPr>
        <w:t>与新湖财富一同践行社会责任、为贫困地区的儿童带去成长的关怀，让财富的增长能够实现更多的社会价值。</w:t>
      </w:r>
      <w:r w:rsidR="00395E27">
        <w:rPr>
          <w:rFonts w:hint="eastAsia"/>
        </w:rPr>
        <w:t>最后</w:t>
      </w:r>
      <w:r>
        <w:rPr>
          <w:rFonts w:hint="eastAsia"/>
        </w:rPr>
        <w:t>，</w:t>
      </w:r>
      <w:r w:rsidR="00625AAC" w:rsidRPr="00625AAC">
        <w:rPr>
          <w:rFonts w:hint="eastAsia"/>
        </w:rPr>
        <w:t>泓湖百世</w:t>
      </w:r>
      <w:r w:rsidR="00EC4CB2">
        <w:rPr>
          <w:rFonts w:hint="eastAsia"/>
        </w:rPr>
        <w:t>全球</w:t>
      </w:r>
      <w:r w:rsidR="00625AAC" w:rsidRPr="00625AAC">
        <w:rPr>
          <w:rFonts w:hint="eastAsia"/>
        </w:rPr>
        <w:t>家族办公室</w:t>
      </w:r>
      <w:r w:rsidR="00395E27">
        <w:rPr>
          <w:rFonts w:hint="eastAsia"/>
        </w:rPr>
        <w:t>也</w:t>
      </w:r>
      <w:r>
        <w:rPr>
          <w:rFonts w:hint="eastAsia"/>
        </w:rPr>
        <w:t>会帮助</w:t>
      </w:r>
      <w:r w:rsidR="009B4274" w:rsidRPr="009B4274">
        <w:rPr>
          <w:rFonts w:hint="eastAsia"/>
        </w:rPr>
        <w:t>高净值人士</w:t>
      </w:r>
      <w:r w:rsidR="00D76AC7">
        <w:rPr>
          <w:rFonts w:hint="eastAsia"/>
        </w:rPr>
        <w:t>在原有家族信托的基础上成立慈善信托，共同推动慈善金融创新业务。</w:t>
      </w:r>
    </w:p>
    <w:p w:rsidR="00001BC8" w:rsidRDefault="00D76AC7">
      <w:pPr>
        <w:spacing w:before="240"/>
        <w:jc w:val="both"/>
        <w:rPr>
          <w:rFonts w:ascii="Times New Roman" w:hAnsi="Times New Roman" w:cs="Times New Roman"/>
        </w:rPr>
      </w:pPr>
      <w:r>
        <w:rPr>
          <w:rFonts w:ascii="Times New Roman" w:hAnsi="Times New Roman" w:cs="Times New Roman"/>
        </w:rPr>
        <w:t>本届财富与社会奖项计划评选工作历时两个月，经历了初次审核打分、确定入围机构名单、入围机构访谈等一系列步骤，最终由行业领袖及知名学者组成的国际顾问委员会综合评定</w:t>
      </w:r>
      <w:r w:rsidR="009B4274">
        <w:rPr>
          <w:rFonts w:ascii="Times New Roman" w:hAnsi="Times New Roman" w:cs="Times New Roman" w:hint="eastAsia"/>
        </w:rPr>
        <w:t>并</w:t>
      </w:r>
      <w:r>
        <w:rPr>
          <w:rFonts w:ascii="Times New Roman" w:hAnsi="Times New Roman" w:cs="Times New Roman"/>
        </w:rPr>
        <w:t>投票得出</w:t>
      </w:r>
      <w:r>
        <w:rPr>
          <w:rFonts w:ascii="Times New Roman" w:hAnsi="Times New Roman" w:cs="Times New Roman"/>
        </w:rPr>
        <w:t>20</w:t>
      </w:r>
      <w:r>
        <w:rPr>
          <w:rFonts w:ascii="Times New Roman" w:hAnsi="Times New Roman" w:cs="Times New Roman"/>
        </w:rPr>
        <w:t>家获奖机构名单。</w:t>
      </w:r>
    </w:p>
    <w:p w:rsidR="00001BC8" w:rsidRDefault="00395E27">
      <w:pPr>
        <w:spacing w:before="240"/>
        <w:jc w:val="both"/>
        <w:rPr>
          <w:rFonts w:ascii="Times New Roman" w:hAnsi="Times New Roman" w:cs="Times New Roman"/>
        </w:rPr>
      </w:pPr>
      <w:r>
        <w:rPr>
          <w:rFonts w:ascii="Times New Roman" w:hAnsi="Times New Roman" w:cs="Times New Roman" w:hint="eastAsia"/>
        </w:rPr>
        <w:t>作</w:t>
      </w:r>
      <w:r w:rsidR="00D76AC7">
        <w:rPr>
          <w:rFonts w:ascii="Times New Roman" w:hAnsi="Times New Roman" w:cs="Times New Roman"/>
        </w:rPr>
        <w:t>为中国财富管理行业快速发展的见证者，财富与社会奖项始终秉持公开、公平、公正的原则，不断完善评选标准，采用定量和定性指标相结合的方法，遴选出一批为社会带来积极影响的，不断满足高净值人群日益增长的金融、慈善等多元化需求的机构。该奖项设立的初衷亦包含传递财富在社会发展中的正能量，以及高净值人群对所处社会的可持续发展与进步产生的积极影响。</w:t>
      </w:r>
    </w:p>
    <w:p w:rsidR="00001BC8" w:rsidRDefault="00D76AC7">
      <w:pPr>
        <w:spacing w:before="240"/>
        <w:rPr>
          <w:rFonts w:ascii="Times New Roman" w:hAnsi="Times New Roman" w:cs="Times New Roman"/>
          <w:bCs/>
        </w:rPr>
      </w:pPr>
      <w:r>
        <w:rPr>
          <w:rFonts w:ascii="Times New Roman" w:hAnsi="Times New Roman" w:cs="Times New Roman"/>
          <w:bCs/>
        </w:rPr>
        <w:t>如需有关</w:t>
      </w:r>
      <w:r>
        <w:rPr>
          <w:rFonts w:ascii="Times New Roman" w:hAnsi="Times New Roman" w:cs="Times New Roman" w:hint="eastAsia"/>
          <w:bCs/>
        </w:rPr>
        <w:t>该</w:t>
      </w:r>
      <w:r>
        <w:rPr>
          <w:rFonts w:ascii="Times New Roman" w:hAnsi="Times New Roman" w:cs="Times New Roman"/>
          <w:bCs/>
        </w:rPr>
        <w:t>奖项计划的更多信息</w:t>
      </w:r>
      <w:r>
        <w:rPr>
          <w:rFonts w:ascii="Times New Roman" w:hAnsi="Times New Roman" w:cs="Times New Roman" w:hint="eastAsia"/>
          <w:bCs/>
        </w:rPr>
        <w:t>，</w:t>
      </w:r>
      <w:r>
        <w:rPr>
          <w:rFonts w:ascii="Times New Roman" w:hAnsi="Times New Roman" w:cs="Times New Roman"/>
          <w:bCs/>
        </w:rPr>
        <w:t>请访问</w:t>
      </w:r>
      <w:r>
        <w:rPr>
          <w:rFonts w:ascii="Times New Roman" w:hAnsi="Times New Roman" w:cs="Times New Roman" w:hint="eastAsia"/>
          <w:bCs/>
        </w:rPr>
        <w:t>：</w:t>
      </w:r>
      <w:r>
        <w:rPr>
          <w:rFonts w:ascii="Times New Roman" w:hAnsi="Times New Roman" w:cs="Times New Roman"/>
          <w:bCs/>
        </w:rPr>
        <w:t xml:space="preserve"> </w:t>
      </w:r>
      <w:hyperlink r:id="rId8" w:history="1">
        <w:r>
          <w:rPr>
            <w:rStyle w:val="ae"/>
            <w:rFonts w:ascii="Times New Roman" w:hAnsi="Times New Roman" w:cs="Times New Roman"/>
            <w:bCs/>
          </w:rPr>
          <w:t>http://www.wealthandsociety.com/theglobalwealthandsocietyawards/criteria</w:t>
        </w:r>
      </w:hyperlink>
      <w:r>
        <w:rPr>
          <w:rFonts w:ascii="Times New Roman" w:hAnsi="Times New Roman" w:cs="Times New Roman"/>
          <w:bCs/>
        </w:rPr>
        <w:t xml:space="preserve">. </w:t>
      </w:r>
    </w:p>
    <w:p w:rsidR="00001BC8" w:rsidRDefault="00001BC8">
      <w:pPr>
        <w:ind w:right="-336"/>
        <w:rPr>
          <w:rFonts w:ascii="Times New Roman" w:hAnsi="Times New Roman" w:cs="Times New Roman"/>
          <w:bCs/>
        </w:rPr>
      </w:pPr>
    </w:p>
    <w:p w:rsidR="00001BC8" w:rsidRDefault="00D76AC7">
      <w:pPr>
        <w:ind w:right="-336"/>
        <w:rPr>
          <w:rFonts w:ascii="Times New Roman" w:hAnsi="Times New Roman" w:cs="Times New Roman"/>
        </w:rPr>
      </w:pPr>
      <w:r>
        <w:rPr>
          <w:rFonts w:ascii="Times New Roman" w:hAnsi="Times New Roman" w:cs="Times New Roman"/>
        </w:rPr>
        <w:t>如需全部照片</w:t>
      </w:r>
      <w:r>
        <w:rPr>
          <w:rFonts w:ascii="Times New Roman" w:hAnsi="Times New Roman" w:cs="Times New Roman" w:hint="eastAsia"/>
        </w:rPr>
        <w:t>/</w:t>
      </w:r>
      <w:r>
        <w:rPr>
          <w:rFonts w:ascii="Times New Roman" w:hAnsi="Times New Roman" w:cs="Times New Roman"/>
        </w:rPr>
        <w:t>多媒体资料</w:t>
      </w:r>
      <w:r>
        <w:rPr>
          <w:rFonts w:ascii="Times New Roman" w:hAnsi="Times New Roman" w:cs="Times New Roman" w:hint="eastAsia"/>
        </w:rPr>
        <w:t>，</w:t>
      </w:r>
      <w:r>
        <w:rPr>
          <w:rFonts w:ascii="Times New Roman" w:hAnsi="Times New Roman" w:cs="Times New Roman"/>
        </w:rPr>
        <w:t>请访问</w:t>
      </w:r>
      <w:r>
        <w:rPr>
          <w:rFonts w:ascii="Times New Roman" w:hAnsi="Times New Roman" w:cs="Times New Roman" w:hint="eastAsia"/>
        </w:rPr>
        <w:t>：</w:t>
      </w:r>
      <w:r>
        <w:rPr>
          <w:rFonts w:ascii="Times New Roman" w:hAnsi="Times New Roman" w:cs="Times New Roman"/>
        </w:rPr>
        <w:t xml:space="preserve"> </w:t>
      </w:r>
      <w:r>
        <w:rPr>
          <w:rStyle w:val="ae"/>
          <w:rFonts w:ascii="Times New Roman" w:hAnsi="Times New Roman" w:cs="Times New Roman"/>
          <w:highlight w:val="yellow"/>
        </w:rPr>
        <w:t>https://www.facebook.com/pg/wealthandsociety/photos/?tab=album&amp;album_id=380406039370318</w:t>
      </w:r>
    </w:p>
    <w:p w:rsidR="00001BC8" w:rsidRDefault="00001BC8">
      <w:pPr>
        <w:ind w:right="-336"/>
        <w:rPr>
          <w:rFonts w:ascii="Times New Roman" w:hAnsi="Times New Roman" w:cs="Times New Roman"/>
          <w:bCs/>
        </w:rPr>
      </w:pPr>
    </w:p>
    <w:p w:rsidR="00001BC8" w:rsidRDefault="00D76AC7">
      <w:pPr>
        <w:rPr>
          <w:rFonts w:ascii="Times New Roman" w:hAnsi="Times New Roman" w:cs="Times New Roman"/>
          <w:bCs/>
        </w:rPr>
      </w:pPr>
      <w:r>
        <w:rPr>
          <w:rFonts w:ascii="Times New Roman" w:hAnsi="Times New Roman" w:cs="Times New Roman" w:hint="eastAsia"/>
          <w:bCs/>
        </w:rPr>
        <w:t>获取</w:t>
      </w:r>
      <w:r>
        <w:rPr>
          <w:rFonts w:ascii="Times New Roman" w:hAnsi="Times New Roman" w:cs="Times New Roman"/>
          <w:bCs/>
        </w:rPr>
        <w:t>更多资讯</w:t>
      </w:r>
      <w:r>
        <w:rPr>
          <w:rFonts w:ascii="Times New Roman" w:hAnsi="Times New Roman" w:cs="Times New Roman" w:hint="eastAsia"/>
          <w:bCs/>
        </w:rPr>
        <w:t>，</w:t>
      </w:r>
      <w:r>
        <w:rPr>
          <w:rFonts w:ascii="Times New Roman" w:hAnsi="Times New Roman" w:cs="Times New Roman"/>
          <w:bCs/>
        </w:rPr>
        <w:t>请联系</w:t>
      </w:r>
      <w:r>
        <w:rPr>
          <w:rFonts w:ascii="Times New Roman" w:hAnsi="Times New Roman" w:cs="Times New Roman" w:hint="eastAsia"/>
          <w:bCs/>
        </w:rPr>
        <w:t>：</w:t>
      </w:r>
    </w:p>
    <w:p w:rsidR="00001BC8" w:rsidRDefault="00001BC8">
      <w:pPr>
        <w:rPr>
          <w:rFonts w:ascii="Times New Roman" w:hAnsi="Times New Roman" w:cs="Times New Roman"/>
          <w:bCs/>
        </w:rPr>
      </w:pPr>
    </w:p>
    <w:p w:rsidR="00001BC8" w:rsidRDefault="00D76AC7">
      <w:pPr>
        <w:rPr>
          <w:rFonts w:ascii="Times New Roman" w:hAnsi="Times New Roman" w:cs="Times New Roman"/>
          <w:bCs/>
        </w:rPr>
      </w:pPr>
      <w:r>
        <w:rPr>
          <w:rFonts w:ascii="Times New Roman" w:hAnsi="Times New Roman" w:cs="Times New Roman"/>
          <w:bCs/>
        </w:rPr>
        <w:t xml:space="preserve">Moira Zhan </w:t>
      </w:r>
      <w:r>
        <w:rPr>
          <w:rFonts w:ascii="Times New Roman" w:hAnsi="Times New Roman" w:cs="Times New Roman"/>
          <w:bCs/>
        </w:rPr>
        <w:t>詹秋萍女士</w:t>
      </w:r>
    </w:p>
    <w:p w:rsidR="00001BC8" w:rsidRDefault="00D76AC7">
      <w:pPr>
        <w:rPr>
          <w:rFonts w:ascii="Times New Roman" w:hAnsi="Times New Roman" w:cs="Times New Roman"/>
          <w:bCs/>
        </w:rPr>
      </w:pPr>
      <w:r>
        <w:rPr>
          <w:rFonts w:ascii="Times New Roman" w:hAnsi="Times New Roman" w:cs="Times New Roman"/>
          <w:bCs/>
        </w:rPr>
        <w:t>电话</w:t>
      </w:r>
      <w:r>
        <w:rPr>
          <w:rFonts w:ascii="Times New Roman" w:hAnsi="Times New Roman" w:cs="Times New Roman" w:hint="eastAsia"/>
          <w:bCs/>
        </w:rPr>
        <w:t>：</w:t>
      </w:r>
      <w:r>
        <w:rPr>
          <w:rFonts w:ascii="Times New Roman" w:hAnsi="Times New Roman" w:cs="Times New Roman"/>
          <w:bCs/>
        </w:rPr>
        <w:t xml:space="preserve"> (+86) 10 58694670</w:t>
      </w:r>
    </w:p>
    <w:p w:rsidR="00001BC8" w:rsidRDefault="00F62EFC">
      <w:pPr>
        <w:rPr>
          <w:rFonts w:ascii="Times New Roman" w:hAnsi="Times New Roman" w:cs="Times New Roman"/>
          <w:bCs/>
        </w:rPr>
      </w:pPr>
      <w:hyperlink r:id="rId9" w:history="1">
        <w:r w:rsidR="00D76AC7">
          <w:rPr>
            <w:rStyle w:val="ae"/>
            <w:rFonts w:ascii="Times New Roman" w:hAnsi="Times New Roman" w:cs="Times New Roman"/>
            <w:bCs/>
          </w:rPr>
          <w:t>mzhan@theasianbanker.com</w:t>
        </w:r>
      </w:hyperlink>
      <w:r w:rsidR="00D76AC7">
        <w:rPr>
          <w:rFonts w:ascii="Times New Roman" w:hAnsi="Times New Roman" w:cs="Times New Roman"/>
          <w:bCs/>
        </w:rPr>
        <w:t xml:space="preserve"> </w:t>
      </w:r>
    </w:p>
    <w:p w:rsidR="00001BC8" w:rsidRDefault="00F62EFC">
      <w:pPr>
        <w:rPr>
          <w:rFonts w:ascii="Times New Roman" w:hAnsi="Times New Roman" w:cs="Times New Roman"/>
          <w:bCs/>
        </w:rPr>
      </w:pPr>
      <w:hyperlink r:id="rId10" w:history="1">
        <w:r w:rsidR="00D76AC7">
          <w:rPr>
            <w:rStyle w:val="ae"/>
            <w:rFonts w:ascii="Times New Roman" w:hAnsi="Times New Roman" w:cs="Times New Roman"/>
            <w:bCs/>
          </w:rPr>
          <w:t>http://www.wealthandsociety.com/</w:t>
        </w:r>
      </w:hyperlink>
    </w:p>
    <w:p w:rsidR="00001BC8" w:rsidRDefault="00001BC8">
      <w:pPr>
        <w:rPr>
          <w:rFonts w:ascii="Times New Roman" w:hAnsi="Times New Roman" w:cs="Times New Roman"/>
          <w:bCs/>
        </w:rPr>
      </w:pPr>
    </w:p>
    <w:p w:rsidR="00001BC8" w:rsidRDefault="00001BC8">
      <w:pPr>
        <w:spacing w:before="240"/>
        <w:rPr>
          <w:rFonts w:ascii="Times New Roman" w:hAnsi="Times New Roman" w:cs="Times New Roman"/>
          <w:bCs/>
        </w:rPr>
      </w:pPr>
    </w:p>
    <w:sectPr w:rsidR="00001BC8">
      <w:headerReference w:type="default" r:id="rId11"/>
      <w:footerReference w:type="default" r:id="rId12"/>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EFC" w:rsidRDefault="00F62EFC">
      <w:r>
        <w:separator/>
      </w:r>
    </w:p>
  </w:endnote>
  <w:endnote w:type="continuationSeparator" w:id="0">
    <w:p w:rsidR="00F62EFC" w:rsidRDefault="00F6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902445507"/>
    </w:sdtPr>
    <w:sdtEndPr/>
    <w:sdtContent>
      <w:sdt>
        <w:sdtPr>
          <w:rPr>
            <w:rFonts w:ascii="Times New Roman" w:hAnsi="Times New Roman" w:cs="Times New Roman"/>
            <w:sz w:val="22"/>
          </w:rPr>
          <w:id w:val="4661170"/>
        </w:sdtPr>
        <w:sdtEndPr/>
        <w:sdtContent>
          <w:sdt>
            <w:sdtPr>
              <w:rPr>
                <w:rFonts w:ascii="Times New Roman" w:hAnsi="Times New Roman" w:cs="Times New Roman"/>
                <w:sz w:val="22"/>
              </w:rPr>
              <w:id w:val="565050523"/>
            </w:sdtPr>
            <w:sdtEndPr/>
            <w:sdtContent>
              <w:p w:rsidR="00001BC8" w:rsidRDefault="00D76AC7">
                <w:pPr>
                  <w:pStyle w:val="a7"/>
                  <w:ind w:right="480"/>
                  <w:rPr>
                    <w:rFonts w:ascii="Times New Roman" w:hAnsi="Times New Roman" w:cs="Times New Roman"/>
                    <w:sz w:val="22"/>
                  </w:rPr>
                </w:pPr>
                <w:r>
                  <w:rPr>
                    <w:rFonts w:ascii="Times New Roman" w:hAnsi="Times New Roman" w:cs="Times New Roman" w:hint="eastAsia"/>
                    <w:sz w:val="18"/>
                    <w:szCs w:val="20"/>
                  </w:rPr>
                  <w:t>201</w:t>
                </w:r>
                <w:r>
                  <w:rPr>
                    <w:rFonts w:ascii="Times New Roman" w:hAnsi="Times New Roman" w:cs="Times New Roman"/>
                    <w:sz w:val="18"/>
                    <w:szCs w:val="20"/>
                  </w:rPr>
                  <w:t>9</w:t>
                </w:r>
                <w:r>
                  <w:rPr>
                    <w:rFonts w:ascii="Times New Roman" w:hAnsi="Times New Roman" w:cs="Times New Roman" w:hint="eastAsia"/>
                    <w:sz w:val="18"/>
                    <w:szCs w:val="20"/>
                  </w:rPr>
                  <w:t>年度财富与社会奖项</w:t>
                </w:r>
                <w:r>
                  <w:rPr>
                    <w:rFonts w:ascii="Times New Roman" w:hAnsi="Times New Roman" w:cs="Times New Roman"/>
                    <w:sz w:val="18"/>
                    <w:szCs w:val="20"/>
                  </w:rPr>
                  <w:t xml:space="preserve">                                                                                                                    </w:t>
                </w:r>
                <w:r>
                  <w:rPr>
                    <w:rFonts w:ascii="Times New Roman" w:hAnsi="Times New Roman" w:cs="Times New Roman" w:hint="eastAsia"/>
                    <w:sz w:val="18"/>
                    <w:szCs w:val="20"/>
                  </w:rPr>
                  <w:t>第</w:t>
                </w:r>
                <w:r>
                  <w:rPr>
                    <w:rFonts w:ascii="Times New Roman" w:hAnsi="Times New Roman" w:cs="Times New Roman"/>
                    <w:sz w:val="18"/>
                    <w:szCs w:val="20"/>
                  </w:rPr>
                  <w:t xml:space="preserve"> </w:t>
                </w:r>
                <w:r>
                  <w:rPr>
                    <w:rFonts w:ascii="Times New Roman" w:hAnsi="Times New Roman" w:cs="Times New Roman"/>
                    <w:sz w:val="18"/>
                    <w:szCs w:val="20"/>
                  </w:rPr>
                  <w:fldChar w:fldCharType="begin"/>
                </w:r>
                <w:r>
                  <w:rPr>
                    <w:rFonts w:ascii="Times New Roman" w:hAnsi="Times New Roman" w:cs="Times New Roman"/>
                    <w:sz w:val="18"/>
                    <w:szCs w:val="20"/>
                  </w:rPr>
                  <w:instrText xml:space="preserve"> PAGE   \* MERGEFORMAT </w:instrText>
                </w:r>
                <w:r>
                  <w:rPr>
                    <w:rFonts w:ascii="Times New Roman" w:hAnsi="Times New Roman" w:cs="Times New Roman"/>
                    <w:sz w:val="18"/>
                    <w:szCs w:val="20"/>
                  </w:rPr>
                  <w:fldChar w:fldCharType="separate"/>
                </w:r>
                <w:r>
                  <w:rPr>
                    <w:rFonts w:ascii="Times New Roman" w:hAnsi="Times New Roman" w:cs="Times New Roman"/>
                    <w:sz w:val="18"/>
                    <w:szCs w:val="20"/>
                  </w:rPr>
                  <w:t>1</w:t>
                </w:r>
                <w:r>
                  <w:rPr>
                    <w:rFonts w:ascii="Times New Roman" w:hAnsi="Times New Roman" w:cs="Times New Roman"/>
                    <w:sz w:val="18"/>
                    <w:szCs w:val="20"/>
                  </w:rPr>
                  <w:fldChar w:fldCharType="end"/>
                </w:r>
                <w:r>
                  <w:rPr>
                    <w:rFonts w:ascii="Times New Roman" w:hAnsi="Times New Roman" w:cs="Times New Roman" w:hint="eastAsia"/>
                    <w:sz w:val="18"/>
                    <w:szCs w:val="20"/>
                  </w:rPr>
                  <w:t>页</w:t>
                </w:r>
                <w:r>
                  <w:rPr>
                    <w:rFonts w:ascii="Times New Roman" w:hAnsi="Times New Roman" w:cs="Times New Roman"/>
                    <w:sz w:val="18"/>
                    <w:szCs w:val="20"/>
                  </w:rPr>
                  <w:t>，</w:t>
                </w:r>
                <w:r>
                  <w:rPr>
                    <w:rFonts w:ascii="Times New Roman" w:hAnsi="Times New Roman" w:cs="Times New Roman" w:hint="eastAsia"/>
                    <w:sz w:val="18"/>
                    <w:szCs w:val="20"/>
                  </w:rPr>
                  <w:t>共</w:t>
                </w:r>
                <w:r>
                  <w:rPr>
                    <w:rFonts w:ascii="Times New Roman" w:hAnsi="Times New Roman" w:cs="Times New Roman"/>
                    <w:sz w:val="18"/>
                    <w:szCs w:val="20"/>
                  </w:rPr>
                  <w:t xml:space="preserve"> 2 </w:t>
                </w:r>
                <w:r>
                  <w:rPr>
                    <w:rFonts w:ascii="Times New Roman" w:hAnsi="Times New Roman" w:cs="Times New Roman" w:hint="eastAsia"/>
                    <w:sz w:val="18"/>
                    <w:szCs w:val="20"/>
                  </w:rPr>
                  <w:t>页</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EFC" w:rsidRDefault="00F62EFC">
      <w:r>
        <w:separator/>
      </w:r>
    </w:p>
  </w:footnote>
  <w:footnote w:type="continuationSeparator" w:id="0">
    <w:p w:rsidR="00F62EFC" w:rsidRDefault="00F62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BC8" w:rsidRDefault="00D76AC7">
    <w:pPr>
      <w:pStyle w:val="5"/>
      <w:rPr>
        <w:color w:val="808080"/>
        <w:sz w:val="16"/>
      </w:rPr>
    </w:pPr>
    <w:r>
      <w:rPr>
        <w:noProof/>
        <w:color w:val="808080"/>
        <w:sz w:val="16"/>
        <w:lang w:val="en-US" w:eastAsia="zh-CN"/>
      </w:rPr>
      <w:drawing>
        <wp:inline distT="0" distB="0" distL="0" distR="0">
          <wp:extent cx="2486025" cy="491490"/>
          <wp:effectExtent l="0" t="0" r="0" b="3810"/>
          <wp:docPr id="2" name="Picture 2" descr="C:\Users\schandani\Desktop\Siddharth\Research Analyst\Global Wealth and Society Awards\Background Information\Updated Logos\Wealth &amp; Society-LOGO\logo-wealth&amp;society_t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chandani\Desktop\Siddharth\Research Analyst\Global Wealth and Society Awards\Background Information\Updated Logos\Wealth &amp; Society-LOGO\logo-wealth&amp;society_tg-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32165" cy="500745"/>
                  </a:xfrm>
                  <a:prstGeom prst="rect">
                    <a:avLst/>
                  </a:prstGeom>
                  <a:noFill/>
                  <a:ln>
                    <a:noFill/>
                  </a:ln>
                </pic:spPr>
              </pic:pic>
            </a:graphicData>
          </a:graphic>
        </wp:inline>
      </w:drawing>
    </w:r>
  </w:p>
  <w:p w:rsidR="00001BC8" w:rsidRDefault="00001BC8">
    <w:pPr>
      <w:pStyle w:val="a9"/>
      <w:rPr>
        <w:rFonts w:ascii="Arial" w:hAnsi="Arial"/>
        <w:color w:val="8080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04DF"/>
    <w:multiLevelType w:val="multilevel"/>
    <w:tmpl w:val="142F0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EB"/>
    <w:rsid w:val="00001BC8"/>
    <w:rsid w:val="000036BF"/>
    <w:rsid w:val="00020FEF"/>
    <w:rsid w:val="00024F20"/>
    <w:rsid w:val="00026785"/>
    <w:rsid w:val="000316A5"/>
    <w:rsid w:val="00041108"/>
    <w:rsid w:val="000426BD"/>
    <w:rsid w:val="00052E48"/>
    <w:rsid w:val="0006280F"/>
    <w:rsid w:val="00065EF1"/>
    <w:rsid w:val="0006760C"/>
    <w:rsid w:val="00077961"/>
    <w:rsid w:val="000A7566"/>
    <w:rsid w:val="000B3F62"/>
    <w:rsid w:val="000B77BA"/>
    <w:rsid w:val="000C4475"/>
    <w:rsid w:val="001028A5"/>
    <w:rsid w:val="00105DEA"/>
    <w:rsid w:val="0011078D"/>
    <w:rsid w:val="00124443"/>
    <w:rsid w:val="00133969"/>
    <w:rsid w:val="001440B7"/>
    <w:rsid w:val="00150853"/>
    <w:rsid w:val="001522B0"/>
    <w:rsid w:val="00157E6C"/>
    <w:rsid w:val="001645A4"/>
    <w:rsid w:val="00174CBB"/>
    <w:rsid w:val="00181068"/>
    <w:rsid w:val="00184D04"/>
    <w:rsid w:val="001A0DE7"/>
    <w:rsid w:val="001B0119"/>
    <w:rsid w:val="001B3025"/>
    <w:rsid w:val="001D1BE5"/>
    <w:rsid w:val="001D4988"/>
    <w:rsid w:val="001F0C01"/>
    <w:rsid w:val="001F40EB"/>
    <w:rsid w:val="001F7A6F"/>
    <w:rsid w:val="00212A8E"/>
    <w:rsid w:val="002163E0"/>
    <w:rsid w:val="00216A17"/>
    <w:rsid w:val="00221F26"/>
    <w:rsid w:val="00240169"/>
    <w:rsid w:val="00241067"/>
    <w:rsid w:val="00246AEB"/>
    <w:rsid w:val="002504B0"/>
    <w:rsid w:val="00252C67"/>
    <w:rsid w:val="002563E6"/>
    <w:rsid w:val="002810FF"/>
    <w:rsid w:val="00287A09"/>
    <w:rsid w:val="00295188"/>
    <w:rsid w:val="002B3BFF"/>
    <w:rsid w:val="002B6BDE"/>
    <w:rsid w:val="002C1208"/>
    <w:rsid w:val="002E219E"/>
    <w:rsid w:val="002E27E3"/>
    <w:rsid w:val="002E4655"/>
    <w:rsid w:val="002F50E9"/>
    <w:rsid w:val="00303F6F"/>
    <w:rsid w:val="003046DA"/>
    <w:rsid w:val="00316789"/>
    <w:rsid w:val="00333AB2"/>
    <w:rsid w:val="00336801"/>
    <w:rsid w:val="00345B96"/>
    <w:rsid w:val="003501ED"/>
    <w:rsid w:val="003560AE"/>
    <w:rsid w:val="0037038F"/>
    <w:rsid w:val="0037533F"/>
    <w:rsid w:val="00376323"/>
    <w:rsid w:val="0038292D"/>
    <w:rsid w:val="0038415A"/>
    <w:rsid w:val="00384F87"/>
    <w:rsid w:val="003911DA"/>
    <w:rsid w:val="00395435"/>
    <w:rsid w:val="00395E27"/>
    <w:rsid w:val="003A65B8"/>
    <w:rsid w:val="003B1445"/>
    <w:rsid w:val="003B60D9"/>
    <w:rsid w:val="003C3CB9"/>
    <w:rsid w:val="003C4DA3"/>
    <w:rsid w:val="003D5604"/>
    <w:rsid w:val="003E080F"/>
    <w:rsid w:val="003F3403"/>
    <w:rsid w:val="003F7B22"/>
    <w:rsid w:val="0042075B"/>
    <w:rsid w:val="004250BB"/>
    <w:rsid w:val="0043657D"/>
    <w:rsid w:val="00440627"/>
    <w:rsid w:val="00443EDB"/>
    <w:rsid w:val="00477B69"/>
    <w:rsid w:val="004A760C"/>
    <w:rsid w:val="004C24ED"/>
    <w:rsid w:val="004C5863"/>
    <w:rsid w:val="004D788E"/>
    <w:rsid w:val="004E3127"/>
    <w:rsid w:val="004E5186"/>
    <w:rsid w:val="0050477F"/>
    <w:rsid w:val="00515CED"/>
    <w:rsid w:val="00530D01"/>
    <w:rsid w:val="00531AED"/>
    <w:rsid w:val="00534E3E"/>
    <w:rsid w:val="0054033D"/>
    <w:rsid w:val="00540397"/>
    <w:rsid w:val="00555EE3"/>
    <w:rsid w:val="00560EFC"/>
    <w:rsid w:val="00590437"/>
    <w:rsid w:val="005C3EAC"/>
    <w:rsid w:val="005C5A2D"/>
    <w:rsid w:val="005C65EE"/>
    <w:rsid w:val="005C6D60"/>
    <w:rsid w:val="005F18F6"/>
    <w:rsid w:val="005F5673"/>
    <w:rsid w:val="005F5F15"/>
    <w:rsid w:val="005F78CC"/>
    <w:rsid w:val="00617475"/>
    <w:rsid w:val="006215A1"/>
    <w:rsid w:val="00624BFB"/>
    <w:rsid w:val="00625135"/>
    <w:rsid w:val="00625AAC"/>
    <w:rsid w:val="00626F3A"/>
    <w:rsid w:val="00627BCC"/>
    <w:rsid w:val="006465C9"/>
    <w:rsid w:val="00650740"/>
    <w:rsid w:val="00654B7F"/>
    <w:rsid w:val="00661587"/>
    <w:rsid w:val="00680EBD"/>
    <w:rsid w:val="00681957"/>
    <w:rsid w:val="00694308"/>
    <w:rsid w:val="006A1BF6"/>
    <w:rsid w:val="006B1C12"/>
    <w:rsid w:val="006C5E03"/>
    <w:rsid w:val="006D26A7"/>
    <w:rsid w:val="006D3D53"/>
    <w:rsid w:val="006D7C66"/>
    <w:rsid w:val="006F2873"/>
    <w:rsid w:val="006F5689"/>
    <w:rsid w:val="006F7EF7"/>
    <w:rsid w:val="00714FB2"/>
    <w:rsid w:val="00726FB0"/>
    <w:rsid w:val="00727850"/>
    <w:rsid w:val="00736EF9"/>
    <w:rsid w:val="00737D31"/>
    <w:rsid w:val="0075623D"/>
    <w:rsid w:val="00762FCC"/>
    <w:rsid w:val="007705D4"/>
    <w:rsid w:val="00771C1F"/>
    <w:rsid w:val="007771DB"/>
    <w:rsid w:val="007822E1"/>
    <w:rsid w:val="00785800"/>
    <w:rsid w:val="00797E91"/>
    <w:rsid w:val="007A3916"/>
    <w:rsid w:val="007C28C5"/>
    <w:rsid w:val="007D5107"/>
    <w:rsid w:val="007F0B3E"/>
    <w:rsid w:val="007F7DDE"/>
    <w:rsid w:val="0080073B"/>
    <w:rsid w:val="00800809"/>
    <w:rsid w:val="00812491"/>
    <w:rsid w:val="00815E8E"/>
    <w:rsid w:val="00826FF5"/>
    <w:rsid w:val="00855167"/>
    <w:rsid w:val="00860236"/>
    <w:rsid w:val="00864A30"/>
    <w:rsid w:val="008661FF"/>
    <w:rsid w:val="0086732D"/>
    <w:rsid w:val="00882ABA"/>
    <w:rsid w:val="008A0C29"/>
    <w:rsid w:val="008A1FAF"/>
    <w:rsid w:val="008A5B13"/>
    <w:rsid w:val="008B0E77"/>
    <w:rsid w:val="008B3447"/>
    <w:rsid w:val="008B62EF"/>
    <w:rsid w:val="008D279F"/>
    <w:rsid w:val="008E2EED"/>
    <w:rsid w:val="008E6AC4"/>
    <w:rsid w:val="008F3B2B"/>
    <w:rsid w:val="008F6B66"/>
    <w:rsid w:val="0090043C"/>
    <w:rsid w:val="00900CD5"/>
    <w:rsid w:val="00901EB9"/>
    <w:rsid w:val="009130CE"/>
    <w:rsid w:val="00933FC7"/>
    <w:rsid w:val="00955763"/>
    <w:rsid w:val="00973A8D"/>
    <w:rsid w:val="00976A49"/>
    <w:rsid w:val="00980C48"/>
    <w:rsid w:val="0098436C"/>
    <w:rsid w:val="00992148"/>
    <w:rsid w:val="009A5157"/>
    <w:rsid w:val="009A6E0D"/>
    <w:rsid w:val="009B4274"/>
    <w:rsid w:val="009C0472"/>
    <w:rsid w:val="009C4F90"/>
    <w:rsid w:val="009D2071"/>
    <w:rsid w:val="009E4825"/>
    <w:rsid w:val="009F74B1"/>
    <w:rsid w:val="00A0244E"/>
    <w:rsid w:val="00A26EA7"/>
    <w:rsid w:val="00A32464"/>
    <w:rsid w:val="00A3373F"/>
    <w:rsid w:val="00A378E7"/>
    <w:rsid w:val="00A508B6"/>
    <w:rsid w:val="00A55132"/>
    <w:rsid w:val="00A73493"/>
    <w:rsid w:val="00A74E00"/>
    <w:rsid w:val="00A778FB"/>
    <w:rsid w:val="00AB1C72"/>
    <w:rsid w:val="00AB2678"/>
    <w:rsid w:val="00AB3D83"/>
    <w:rsid w:val="00AD65D4"/>
    <w:rsid w:val="00AE1C6C"/>
    <w:rsid w:val="00AE20A1"/>
    <w:rsid w:val="00AE7F45"/>
    <w:rsid w:val="00AF594B"/>
    <w:rsid w:val="00B00710"/>
    <w:rsid w:val="00B11799"/>
    <w:rsid w:val="00B238CC"/>
    <w:rsid w:val="00B35855"/>
    <w:rsid w:val="00B426E6"/>
    <w:rsid w:val="00B51FD3"/>
    <w:rsid w:val="00B54A2A"/>
    <w:rsid w:val="00B60617"/>
    <w:rsid w:val="00B6613C"/>
    <w:rsid w:val="00B839C9"/>
    <w:rsid w:val="00B84CB3"/>
    <w:rsid w:val="00B9029E"/>
    <w:rsid w:val="00BA270D"/>
    <w:rsid w:val="00BB1620"/>
    <w:rsid w:val="00BB4C08"/>
    <w:rsid w:val="00BC45E3"/>
    <w:rsid w:val="00BF1B26"/>
    <w:rsid w:val="00BF20CE"/>
    <w:rsid w:val="00BF43A9"/>
    <w:rsid w:val="00BF7538"/>
    <w:rsid w:val="00C108E5"/>
    <w:rsid w:val="00C11CFD"/>
    <w:rsid w:val="00C147A4"/>
    <w:rsid w:val="00C15017"/>
    <w:rsid w:val="00C236F5"/>
    <w:rsid w:val="00C26C24"/>
    <w:rsid w:val="00C31487"/>
    <w:rsid w:val="00C50F39"/>
    <w:rsid w:val="00C5243F"/>
    <w:rsid w:val="00C61CA4"/>
    <w:rsid w:val="00C634B7"/>
    <w:rsid w:val="00C64009"/>
    <w:rsid w:val="00C868E6"/>
    <w:rsid w:val="00C87D75"/>
    <w:rsid w:val="00CB4920"/>
    <w:rsid w:val="00CB6817"/>
    <w:rsid w:val="00CD54F3"/>
    <w:rsid w:val="00CE4AA4"/>
    <w:rsid w:val="00D00124"/>
    <w:rsid w:val="00D035F3"/>
    <w:rsid w:val="00D12BFC"/>
    <w:rsid w:val="00D14E71"/>
    <w:rsid w:val="00D16685"/>
    <w:rsid w:val="00D176CF"/>
    <w:rsid w:val="00D17748"/>
    <w:rsid w:val="00D20C70"/>
    <w:rsid w:val="00D277A0"/>
    <w:rsid w:val="00D35DB5"/>
    <w:rsid w:val="00D37C12"/>
    <w:rsid w:val="00D401B9"/>
    <w:rsid w:val="00D6009D"/>
    <w:rsid w:val="00D600C2"/>
    <w:rsid w:val="00D61313"/>
    <w:rsid w:val="00D62BA5"/>
    <w:rsid w:val="00D758FA"/>
    <w:rsid w:val="00D76AC7"/>
    <w:rsid w:val="00DA0E2D"/>
    <w:rsid w:val="00DA323E"/>
    <w:rsid w:val="00DA4245"/>
    <w:rsid w:val="00DB23BA"/>
    <w:rsid w:val="00DC539B"/>
    <w:rsid w:val="00DD6AEF"/>
    <w:rsid w:val="00DE4C34"/>
    <w:rsid w:val="00DF5F68"/>
    <w:rsid w:val="00E03D3E"/>
    <w:rsid w:val="00E10BE5"/>
    <w:rsid w:val="00E15205"/>
    <w:rsid w:val="00E21559"/>
    <w:rsid w:val="00E223E9"/>
    <w:rsid w:val="00E25B85"/>
    <w:rsid w:val="00E31EB5"/>
    <w:rsid w:val="00E506C2"/>
    <w:rsid w:val="00E645B8"/>
    <w:rsid w:val="00E75F82"/>
    <w:rsid w:val="00E767E3"/>
    <w:rsid w:val="00E9414F"/>
    <w:rsid w:val="00E96942"/>
    <w:rsid w:val="00EA3180"/>
    <w:rsid w:val="00EB31E6"/>
    <w:rsid w:val="00EB48A1"/>
    <w:rsid w:val="00EC13B6"/>
    <w:rsid w:val="00EC1DB0"/>
    <w:rsid w:val="00EC4CB2"/>
    <w:rsid w:val="00EE14AA"/>
    <w:rsid w:val="00EE4834"/>
    <w:rsid w:val="00EE5BF5"/>
    <w:rsid w:val="00EF0AED"/>
    <w:rsid w:val="00F00131"/>
    <w:rsid w:val="00F01EC1"/>
    <w:rsid w:val="00F023E7"/>
    <w:rsid w:val="00F236DA"/>
    <w:rsid w:val="00F24FC7"/>
    <w:rsid w:val="00F25FD2"/>
    <w:rsid w:val="00F339C3"/>
    <w:rsid w:val="00F468C2"/>
    <w:rsid w:val="00F62EFC"/>
    <w:rsid w:val="00F668B7"/>
    <w:rsid w:val="00F67764"/>
    <w:rsid w:val="00F8169B"/>
    <w:rsid w:val="00F829DC"/>
    <w:rsid w:val="00F97C75"/>
    <w:rsid w:val="00FC254A"/>
    <w:rsid w:val="00FD3438"/>
    <w:rsid w:val="00FD461F"/>
    <w:rsid w:val="00FD557D"/>
    <w:rsid w:val="00FF60AD"/>
    <w:rsid w:val="104258F2"/>
    <w:rsid w:val="18224695"/>
    <w:rsid w:val="18324E15"/>
    <w:rsid w:val="2FD073DA"/>
    <w:rsid w:val="3B743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C456D8-B2FF-44AD-B42F-C79D38C4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EastAsia" w:hAnsiTheme="minorHAnsi" w:cstheme="minorBidi"/>
      <w:sz w:val="24"/>
      <w:szCs w:val="24"/>
      <w:lang w:val="en-GB"/>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Pr>
      <w:sz w:val="20"/>
      <w:szCs w:val="20"/>
    </w:rPr>
  </w:style>
  <w:style w:type="paragraph" w:styleId="a5">
    <w:name w:val="Balloon Text"/>
    <w:basedOn w:val="a"/>
    <w:link w:val="a6"/>
    <w:uiPriority w:val="99"/>
    <w:semiHidden/>
    <w:unhideWhenUsed/>
    <w:rPr>
      <w:rFonts w:ascii="Segoe UI" w:hAnsi="Segoe UI" w:cs="Segoe UI"/>
      <w:sz w:val="18"/>
      <w:szCs w:val="18"/>
    </w:rPr>
  </w:style>
  <w:style w:type="paragraph" w:styleId="a7">
    <w:name w:val="footer"/>
    <w:basedOn w:val="a"/>
    <w:link w:val="a8"/>
    <w:uiPriority w:val="99"/>
    <w:unhideWhenUsed/>
    <w:qFormat/>
    <w:pPr>
      <w:tabs>
        <w:tab w:val="center" w:pos="4513"/>
        <w:tab w:val="right" w:pos="9026"/>
      </w:tabs>
    </w:pPr>
  </w:style>
  <w:style w:type="paragraph" w:styleId="a9">
    <w:name w:val="header"/>
    <w:basedOn w:val="a"/>
    <w:link w:val="aa"/>
    <w:uiPriority w:val="99"/>
    <w:unhideWhenUsed/>
    <w:qFormat/>
    <w:pPr>
      <w:tabs>
        <w:tab w:val="center" w:pos="4513"/>
        <w:tab w:val="right" w:pos="9026"/>
      </w:tabs>
    </w:pPr>
  </w:style>
  <w:style w:type="paragraph" w:styleId="ab">
    <w:name w:val="Normal (Web)"/>
    <w:basedOn w:val="a"/>
    <w:uiPriority w:val="99"/>
    <w:unhideWhenUsed/>
    <w:pPr>
      <w:spacing w:before="100" w:beforeAutospacing="1" w:after="100" w:afterAutospacing="1"/>
    </w:pPr>
    <w:rPr>
      <w:rFonts w:ascii="Times New Roman" w:hAnsi="Times New Roman" w:cs="Times New Roman"/>
    </w:rPr>
  </w:style>
  <w:style w:type="paragraph" w:styleId="ac">
    <w:name w:val="annotation subject"/>
    <w:basedOn w:val="a3"/>
    <w:next w:val="a3"/>
    <w:link w:val="ad"/>
    <w:uiPriority w:val="99"/>
    <w:semiHidden/>
    <w:unhideWhenUsed/>
    <w:qFormat/>
    <w:rPr>
      <w:b/>
      <w:bCs/>
    </w:rPr>
  </w:style>
  <w:style w:type="character" w:styleId="ae">
    <w:name w:val="Hyperlink"/>
    <w:semiHidden/>
    <w:rPr>
      <w:color w:val="0000FF"/>
      <w:u w:val="single"/>
    </w:rPr>
  </w:style>
  <w:style w:type="character" w:styleId="af">
    <w:name w:val="annotation reference"/>
    <w:basedOn w:val="a0"/>
    <w:uiPriority w:val="99"/>
    <w:semiHidden/>
    <w:unhideWhenUsed/>
    <w:qFormat/>
    <w:rPr>
      <w:sz w:val="16"/>
      <w:szCs w:val="16"/>
    </w:rPr>
  </w:style>
  <w:style w:type="character" w:customStyle="1" w:styleId="50">
    <w:name w:val="标题 5 字符"/>
    <w:basedOn w:val="a0"/>
    <w:link w:val="5"/>
    <w:uiPriority w:val="9"/>
    <w:qFormat/>
    <w:rPr>
      <w:rFonts w:asciiTheme="majorHAnsi" w:eastAsiaTheme="majorEastAsia" w:hAnsiTheme="majorHAnsi" w:cstheme="majorBidi"/>
      <w:color w:val="244061" w:themeColor="accent1" w:themeShade="80"/>
      <w:sz w:val="24"/>
      <w:szCs w:val="24"/>
      <w:lang w:val="en-GB"/>
    </w:rPr>
  </w:style>
  <w:style w:type="character" w:customStyle="1" w:styleId="aa">
    <w:name w:val="页眉 字符"/>
    <w:basedOn w:val="a0"/>
    <w:link w:val="a9"/>
    <w:uiPriority w:val="99"/>
    <w:qFormat/>
    <w:rPr>
      <w:rFonts w:eastAsiaTheme="minorEastAsia"/>
      <w:sz w:val="24"/>
      <w:szCs w:val="24"/>
      <w:lang w:val="en-GB" w:eastAsia="zh-CN"/>
    </w:rPr>
  </w:style>
  <w:style w:type="character" w:customStyle="1" w:styleId="a8">
    <w:name w:val="页脚 字符"/>
    <w:basedOn w:val="a0"/>
    <w:link w:val="a7"/>
    <w:uiPriority w:val="99"/>
    <w:qFormat/>
    <w:rPr>
      <w:rFonts w:eastAsiaTheme="minorEastAsia"/>
      <w:sz w:val="24"/>
      <w:szCs w:val="24"/>
      <w:lang w:val="en-GB" w:eastAsia="zh-CN"/>
    </w:rPr>
  </w:style>
  <w:style w:type="paragraph" w:styleId="af0">
    <w:name w:val="List Paragraph"/>
    <w:basedOn w:val="a"/>
    <w:uiPriority w:val="34"/>
    <w:qFormat/>
    <w:pPr>
      <w:ind w:left="720"/>
      <w:contextualSpacing/>
    </w:pPr>
  </w:style>
  <w:style w:type="paragraph" w:customStyle="1" w:styleId="Default">
    <w:name w:val="Default"/>
    <w:qFormat/>
    <w:pPr>
      <w:autoSpaceDE w:val="0"/>
      <w:autoSpaceDN w:val="0"/>
      <w:adjustRightInd w:val="0"/>
    </w:pPr>
    <w:rPr>
      <w:rFonts w:eastAsiaTheme="minorEastAsia"/>
      <w:color w:val="000000"/>
      <w:sz w:val="24"/>
      <w:szCs w:val="24"/>
      <w:lang w:val="en-SG" w:eastAsia="en-US"/>
    </w:rPr>
  </w:style>
  <w:style w:type="character" w:customStyle="1" w:styleId="a4">
    <w:name w:val="批注文字 字符"/>
    <w:basedOn w:val="a0"/>
    <w:link w:val="a3"/>
    <w:uiPriority w:val="99"/>
    <w:semiHidden/>
    <w:rPr>
      <w:rFonts w:eastAsiaTheme="minorEastAsia"/>
      <w:sz w:val="20"/>
      <w:szCs w:val="20"/>
      <w:lang w:val="en-GB" w:eastAsia="zh-CN"/>
    </w:rPr>
  </w:style>
  <w:style w:type="character" w:customStyle="1" w:styleId="ad">
    <w:name w:val="批注主题 字符"/>
    <w:basedOn w:val="a4"/>
    <w:link w:val="ac"/>
    <w:uiPriority w:val="99"/>
    <w:semiHidden/>
    <w:qFormat/>
    <w:rPr>
      <w:rFonts w:eastAsiaTheme="minorEastAsia"/>
      <w:b/>
      <w:bCs/>
      <w:sz w:val="20"/>
      <w:szCs w:val="20"/>
      <w:lang w:val="en-GB" w:eastAsia="zh-CN"/>
    </w:rPr>
  </w:style>
  <w:style w:type="character" w:customStyle="1" w:styleId="a6">
    <w:name w:val="批注框文本 字符"/>
    <w:basedOn w:val="a0"/>
    <w:link w:val="a5"/>
    <w:uiPriority w:val="99"/>
    <w:semiHidden/>
    <w:rPr>
      <w:rFonts w:ascii="Segoe UI" w:eastAsiaTheme="minorEastAsia"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lthandsociety.com/theglobalwealthandsocietyawards/criter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althandsociety.com/" TargetMode="External"/><Relationship Id="rId4" Type="http://schemas.openxmlformats.org/officeDocument/2006/relationships/settings" Target="settings.xml"/><Relationship Id="rId9" Type="http://schemas.openxmlformats.org/officeDocument/2006/relationships/hyperlink" Target="mailto:mzhan@theasianbank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research3</dc:creator>
  <cp:lastModifiedBy>Sara Wang</cp:lastModifiedBy>
  <cp:revision>12</cp:revision>
  <cp:lastPrinted>2018-11-12T03:52:00Z</cp:lastPrinted>
  <dcterms:created xsi:type="dcterms:W3CDTF">2019-12-06T06:47:00Z</dcterms:created>
  <dcterms:modified xsi:type="dcterms:W3CDTF">2019-12-17T09:17:00Z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